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E8587" w14:textId="77777777" w:rsidR="00A324F8" w:rsidRPr="00D415E5" w:rsidRDefault="00A324F8" w:rsidP="00A324F8">
      <w:pPr>
        <w:jc w:val="left"/>
        <w:rPr>
          <w:sz w:val="20"/>
        </w:rPr>
      </w:pPr>
      <w:r>
        <w:rPr>
          <w:sz w:val="20"/>
        </w:rPr>
        <w:t>July</w:t>
      </w:r>
      <w:r w:rsidRPr="00D415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7</w:t>
      </w:r>
      <w:r w:rsidRPr="00D415E5">
        <w:rPr>
          <w:sz w:val="20"/>
        </w:rPr>
        <w:t>, 20</w:t>
      </w:r>
      <w:r>
        <w:rPr>
          <w:sz w:val="20"/>
        </w:rPr>
        <w:t>20</w:t>
      </w:r>
    </w:p>
    <w:p w14:paraId="64754E34" w14:textId="77777777" w:rsidR="00A324F8" w:rsidRPr="00D415E5" w:rsidRDefault="00A324F8" w:rsidP="00A324F8">
      <w:pPr>
        <w:jc w:val="left"/>
        <w:rPr>
          <w:sz w:val="20"/>
        </w:rPr>
      </w:pPr>
      <w:r w:rsidRPr="00D415E5">
        <w:rPr>
          <w:sz w:val="20"/>
        </w:rPr>
        <w:t>Kawasaki Kisen Kaisha, Ltd</w:t>
      </w:r>
    </w:p>
    <w:p w14:paraId="034609A5" w14:textId="77777777" w:rsidR="00A324F8" w:rsidRPr="00D415E5" w:rsidRDefault="00A324F8" w:rsidP="00A324F8">
      <w:pPr>
        <w:rPr>
          <w:b/>
          <w:sz w:val="20"/>
          <w:u w:val="single"/>
        </w:rPr>
      </w:pPr>
    </w:p>
    <w:p w14:paraId="30ECAFDF" w14:textId="77777777" w:rsidR="00A324F8" w:rsidRPr="00F02327" w:rsidRDefault="00A324F8" w:rsidP="00A324F8">
      <w:pPr>
        <w:jc w:val="center"/>
        <w:rPr>
          <w:b/>
          <w:szCs w:val="21"/>
          <w:u w:val="single"/>
        </w:rPr>
      </w:pPr>
      <w:r w:rsidRPr="00AC509B">
        <w:rPr>
          <w:b/>
          <w:szCs w:val="21"/>
          <w:u w:val="single"/>
        </w:rPr>
        <w:t xml:space="preserve">“K” Line formulated the revised edition of </w:t>
      </w:r>
      <w:r w:rsidRPr="00F02327">
        <w:rPr>
          <w:b/>
          <w:szCs w:val="21"/>
          <w:u w:val="single"/>
        </w:rPr>
        <w:t xml:space="preserve">“K” Line Environmental Vision 2050 </w:t>
      </w:r>
    </w:p>
    <w:p w14:paraId="0323C8F2" w14:textId="77777777" w:rsidR="00A324F8" w:rsidRPr="00F02327" w:rsidRDefault="00A324F8" w:rsidP="00A324F8">
      <w:pPr>
        <w:jc w:val="center"/>
        <w:rPr>
          <w:b/>
          <w:szCs w:val="21"/>
          <w:u w:val="single"/>
        </w:rPr>
      </w:pPr>
      <w:r w:rsidRPr="00F02327">
        <w:rPr>
          <w:b/>
          <w:szCs w:val="21"/>
          <w:u w:val="single"/>
        </w:rPr>
        <w:t xml:space="preserve">- Blue Seas for </w:t>
      </w:r>
      <w:r>
        <w:rPr>
          <w:b/>
          <w:szCs w:val="21"/>
          <w:u w:val="single"/>
        </w:rPr>
        <w:t>the Future</w:t>
      </w:r>
      <w:r w:rsidRPr="00F02327">
        <w:rPr>
          <w:b/>
          <w:szCs w:val="21"/>
          <w:u w:val="single"/>
        </w:rPr>
        <w:t xml:space="preserve"> - </w:t>
      </w:r>
    </w:p>
    <w:p w14:paraId="0EE0A89C" w14:textId="77777777" w:rsidR="00A324F8" w:rsidRDefault="00A324F8" w:rsidP="00A324F8">
      <w:pPr>
        <w:jc w:val="center"/>
        <w:rPr>
          <w:b/>
          <w:sz w:val="20"/>
          <w:szCs w:val="22"/>
          <w:u w:val="single"/>
        </w:rPr>
      </w:pPr>
    </w:p>
    <w:p w14:paraId="5BB12118" w14:textId="77777777" w:rsidR="00A324F8" w:rsidRPr="006F3890" w:rsidRDefault="00A324F8" w:rsidP="00A324F8">
      <w:pPr>
        <w:jc w:val="left"/>
        <w:rPr>
          <w:sz w:val="20"/>
        </w:rPr>
      </w:pPr>
      <w:r w:rsidRPr="00A5396D">
        <w:rPr>
          <w:rFonts w:hint="eastAsia"/>
          <w:sz w:val="20"/>
          <w:szCs w:val="22"/>
        </w:rPr>
        <w:t>K</w:t>
      </w:r>
      <w:r w:rsidRPr="00A5396D">
        <w:rPr>
          <w:sz w:val="20"/>
          <w:szCs w:val="22"/>
        </w:rPr>
        <w:t>awasaki</w:t>
      </w:r>
      <w:r>
        <w:rPr>
          <w:sz w:val="20"/>
          <w:szCs w:val="22"/>
        </w:rPr>
        <w:t xml:space="preserve"> Kisen Kaisha, Ltd. (</w:t>
      </w:r>
      <w:r>
        <w:rPr>
          <w:sz w:val="20"/>
        </w:rPr>
        <w:t>“</w:t>
      </w:r>
      <w:r w:rsidRPr="00A5396D">
        <w:rPr>
          <w:sz w:val="20"/>
        </w:rPr>
        <w:t>K</w:t>
      </w:r>
      <w:r>
        <w:rPr>
          <w:sz w:val="20"/>
        </w:rPr>
        <w:t>”</w:t>
      </w:r>
      <w:r w:rsidRPr="00A5396D">
        <w:rPr>
          <w:sz w:val="20"/>
        </w:rPr>
        <w:t xml:space="preserve"> Line</w:t>
      </w:r>
      <w:r>
        <w:rPr>
          <w:sz w:val="20"/>
          <w:szCs w:val="22"/>
        </w:rPr>
        <w:t xml:space="preserve">) has </w:t>
      </w:r>
      <w:r>
        <w:rPr>
          <w:sz w:val="20"/>
        </w:rPr>
        <w:t>thoroughly</w:t>
      </w:r>
      <w:r>
        <w:rPr>
          <w:sz w:val="20"/>
          <w:szCs w:val="22"/>
        </w:rPr>
        <w:t xml:space="preserve"> revised the long-term guideline concerning environment, </w:t>
      </w:r>
      <w:r w:rsidRPr="00F02327">
        <w:rPr>
          <w:sz w:val="20"/>
        </w:rPr>
        <w:t xml:space="preserve">“K” Line Environmental Vision 2050 - Blue Seas for </w:t>
      </w:r>
      <w:r>
        <w:rPr>
          <w:sz w:val="20"/>
        </w:rPr>
        <w:t>the Future -,</w:t>
      </w:r>
      <w:r w:rsidRPr="006F3890">
        <w:rPr>
          <w:i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  <w:szCs w:val="22"/>
        </w:rPr>
        <w:t>in order to strengthen the initiatives toward global environmental preservation such as reduction of GHG(Greenhouse Gas)</w:t>
      </w:r>
      <w:r>
        <w:rPr>
          <w:sz w:val="20"/>
        </w:rPr>
        <w:t>.</w:t>
      </w:r>
    </w:p>
    <w:p w14:paraId="354F7DF2" w14:textId="77777777" w:rsidR="00A324F8" w:rsidRPr="000A61FB" w:rsidRDefault="00A324F8" w:rsidP="00A324F8">
      <w:pPr>
        <w:jc w:val="left"/>
        <w:rPr>
          <w:sz w:val="20"/>
          <w:szCs w:val="22"/>
        </w:rPr>
      </w:pPr>
    </w:p>
    <w:p w14:paraId="459F79CA" w14:textId="77777777" w:rsidR="00A324F8" w:rsidRDefault="00A324F8" w:rsidP="00A324F8">
      <w:pPr>
        <w:rPr>
          <w:sz w:val="20"/>
        </w:rPr>
      </w:pPr>
      <w:r>
        <w:rPr>
          <w:sz w:val="20"/>
        </w:rPr>
        <w:t>Since “</w:t>
      </w:r>
      <w:r w:rsidRPr="00A5396D">
        <w:rPr>
          <w:sz w:val="20"/>
        </w:rPr>
        <w:t>K</w:t>
      </w:r>
      <w:r>
        <w:rPr>
          <w:sz w:val="20"/>
        </w:rPr>
        <w:t>”</w:t>
      </w:r>
      <w:r w:rsidRPr="00A5396D">
        <w:rPr>
          <w:sz w:val="20"/>
        </w:rPr>
        <w:t xml:space="preserve"> Line</w:t>
      </w:r>
      <w:r>
        <w:rPr>
          <w:sz w:val="20"/>
        </w:rPr>
        <w:t xml:space="preserve"> formulated </w:t>
      </w:r>
      <w:r w:rsidRPr="009F2B9B">
        <w:rPr>
          <w:sz w:val="20"/>
        </w:rPr>
        <w:t xml:space="preserve">“K” Line Environmental Vision 2050 </w:t>
      </w:r>
      <w:r>
        <w:rPr>
          <w:sz w:val="20"/>
        </w:rPr>
        <w:t>in 2015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r w:rsidRPr="003A578B">
        <w:rPr>
          <w:sz w:val="20"/>
        </w:rPr>
        <w:t>which</w:t>
      </w:r>
      <w:r>
        <w:rPr>
          <w:sz w:val="20"/>
        </w:rPr>
        <w:t xml:space="preserve"> set forth our long-term goals for 2050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as a frontrunner, we have engaged in reduction of environmental load, research and introduction of advanced technology by using this vision as a guideline. While we achieved most of the </w:t>
      </w:r>
      <w:r w:rsidRPr="009F240F">
        <w:rPr>
          <w:sz w:val="20"/>
        </w:rPr>
        <w:t xml:space="preserve">2019 </w:t>
      </w:r>
      <w:r>
        <w:rPr>
          <w:sz w:val="20"/>
        </w:rPr>
        <w:t xml:space="preserve">interim milestones including CO2 reduction and introduction of environmental flagship set in this vision, we saw dramatic changes in environment and its requirement from society/stakeholder how to deal with environmental preservation. </w:t>
      </w:r>
    </w:p>
    <w:p w14:paraId="12102229" w14:textId="77777777" w:rsidR="00A324F8" w:rsidRDefault="00A324F8" w:rsidP="00A324F8">
      <w:pPr>
        <w:rPr>
          <w:sz w:val="20"/>
        </w:rPr>
      </w:pPr>
      <w:r>
        <w:rPr>
          <w:sz w:val="20"/>
        </w:rPr>
        <w:t>Therefore, we came to a decision to revise the vision this time</w:t>
      </w:r>
      <w:r>
        <w:rPr>
          <w:rFonts w:hint="eastAsia"/>
          <w:sz w:val="20"/>
        </w:rPr>
        <w:t>．</w:t>
      </w:r>
    </w:p>
    <w:p w14:paraId="0FFB4854" w14:textId="77777777" w:rsidR="00A324F8" w:rsidRPr="00A21DB0" w:rsidRDefault="00A324F8" w:rsidP="00A324F8">
      <w:pPr>
        <w:rPr>
          <w:sz w:val="20"/>
        </w:rPr>
      </w:pPr>
    </w:p>
    <w:p w14:paraId="3612724B" w14:textId="77777777" w:rsidR="00A324F8" w:rsidRDefault="00A324F8" w:rsidP="00A324F8">
      <w:pPr>
        <w:rPr>
          <w:sz w:val="20"/>
        </w:rPr>
      </w:pPr>
      <w:r w:rsidRPr="00BC2689">
        <w:rPr>
          <w:rFonts w:eastAsia="Meiryo"/>
          <w:noProof/>
          <w:color w:val="000000"/>
          <w:sz w:val="20"/>
          <w:szCs w:val="21"/>
        </w:rPr>
        <w:drawing>
          <wp:anchor distT="0" distB="0" distL="114300" distR="114300" simplePos="0" relativeHeight="251659264" behindDoc="0" locked="0" layoutInCell="1" allowOverlap="1" wp14:anchorId="5A86CE69" wp14:editId="00A97AAC">
            <wp:simplePos x="0" y="0"/>
            <wp:positionH relativeFrom="column">
              <wp:posOffset>3666490</wp:posOffset>
            </wp:positionH>
            <wp:positionV relativeFrom="paragraph">
              <wp:posOffset>29845</wp:posOffset>
            </wp:positionV>
            <wp:extent cx="2073080" cy="2926080"/>
            <wp:effectExtent l="0" t="0" r="3810" b="7620"/>
            <wp:wrapThrough wrapText="bothSides">
              <wp:wrapPolygon edited="0">
                <wp:start x="0" y="0"/>
                <wp:lineTo x="0" y="21516"/>
                <wp:lineTo x="21441" y="21516"/>
                <wp:lineTo x="2144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0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Revised edition</w:t>
      </w:r>
      <w:r>
        <w:rPr>
          <w:rFonts w:hint="eastAsia"/>
          <w:sz w:val="20"/>
        </w:rPr>
        <w:t xml:space="preserve"> </w:t>
      </w:r>
      <w:r>
        <w:rPr>
          <w:sz w:val="20"/>
        </w:rPr>
        <w:t>is based on the results of scenario analysis, recommended by TCFD, Task Force on Climate-related Financial Disclosures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and rearranged the targets into two main factors, “Decarbonization” and ”Aim for zero environmental impact”, and set the </w:t>
      </w:r>
      <w:r w:rsidRPr="001B10FF">
        <w:rPr>
          <w:sz w:val="20"/>
        </w:rPr>
        <w:t>new milestone goals for 2030</w:t>
      </w:r>
      <w:r>
        <w:rPr>
          <w:sz w:val="20"/>
        </w:rPr>
        <w:t>.</w:t>
      </w:r>
    </w:p>
    <w:p w14:paraId="7CB76E6D" w14:textId="77777777" w:rsidR="00A324F8" w:rsidRDefault="00A324F8" w:rsidP="00A324F8">
      <w:pPr>
        <w:ind w:firstLineChars="50" w:firstLine="100"/>
        <w:jc w:val="left"/>
        <w:rPr>
          <w:sz w:val="20"/>
        </w:rPr>
      </w:pPr>
      <w:r>
        <w:rPr>
          <w:rFonts w:hint="eastAsia"/>
          <w:sz w:val="20"/>
        </w:rPr>
        <w:t>E</w:t>
      </w:r>
      <w:r>
        <w:rPr>
          <w:sz w:val="20"/>
        </w:rPr>
        <w:t>specially on “Decarbonization”, as 2030 interim milestones, “K” Line is aiming the improvement of CO2 emission efficiency by 50% compared with 2008, which surpasses the 2030 target set</w:t>
      </w:r>
      <w:r>
        <w:rPr>
          <w:rFonts w:hint="eastAsia"/>
          <w:sz w:val="20"/>
        </w:rPr>
        <w:t xml:space="preserve"> </w:t>
      </w:r>
      <w:r>
        <w:rPr>
          <w:sz w:val="20"/>
        </w:rPr>
        <w:t>by IMO, International Maritime Organization, “i</w:t>
      </w:r>
      <w:r w:rsidRPr="00A60A00">
        <w:rPr>
          <w:sz w:val="20"/>
        </w:rPr>
        <w:t>mprove</w:t>
      </w:r>
      <w:r>
        <w:rPr>
          <w:sz w:val="20"/>
        </w:rPr>
        <w:t>ment</w:t>
      </w:r>
      <w:r w:rsidRPr="00A60A00">
        <w:rPr>
          <w:sz w:val="20"/>
        </w:rPr>
        <w:t xml:space="preserve"> </w:t>
      </w:r>
      <w:r>
        <w:rPr>
          <w:sz w:val="20"/>
        </w:rPr>
        <w:t xml:space="preserve">of </w:t>
      </w:r>
      <w:r w:rsidRPr="00A60A00">
        <w:rPr>
          <w:sz w:val="20"/>
        </w:rPr>
        <w:t xml:space="preserve">CO2 emission efficiency by </w:t>
      </w:r>
      <w:r>
        <w:rPr>
          <w:sz w:val="20"/>
        </w:rPr>
        <w:t>4</w:t>
      </w:r>
      <w:r w:rsidRPr="00A60A00">
        <w:rPr>
          <w:sz w:val="20"/>
        </w:rPr>
        <w:t>0% over 2008</w:t>
      </w:r>
      <w:r>
        <w:rPr>
          <w:sz w:val="20"/>
        </w:rPr>
        <w:t>”. “K” Line will continue to research and develop best solution including new technologies toward goal for GHG zero emission.</w:t>
      </w:r>
    </w:p>
    <w:p w14:paraId="24143ADE" w14:textId="77777777" w:rsidR="00A324F8" w:rsidRDefault="00A324F8" w:rsidP="00A324F8">
      <w:pPr>
        <w:rPr>
          <w:sz w:val="20"/>
        </w:rPr>
      </w:pPr>
    </w:p>
    <w:p w14:paraId="37232673" w14:textId="52AB540C" w:rsidR="00A324F8" w:rsidRDefault="00A324F8" w:rsidP="00A324F8">
      <w:pPr>
        <w:rPr>
          <w:sz w:val="20"/>
        </w:rPr>
      </w:pPr>
      <w:r>
        <w:rPr>
          <w:sz w:val="20"/>
        </w:rPr>
        <w:t xml:space="preserve">As an environmental front runner, we will continue to aim at providing more environmentally low-loaded and highly efficient services for more people throughout the world. </w:t>
      </w:r>
    </w:p>
    <w:p w14:paraId="11C42FF9" w14:textId="2E710E3E" w:rsidR="00AC47AC" w:rsidRDefault="00AC47AC" w:rsidP="00A324F8">
      <w:pPr>
        <w:rPr>
          <w:sz w:val="20"/>
        </w:rPr>
      </w:pPr>
    </w:p>
    <w:p w14:paraId="423C2F80" w14:textId="19F70636" w:rsidR="00AC47AC" w:rsidRDefault="00AC47AC" w:rsidP="00A324F8">
      <w:pPr>
        <w:rPr>
          <w:sz w:val="20"/>
        </w:rPr>
      </w:pPr>
    </w:p>
    <w:p w14:paraId="34B60EC0" w14:textId="77777777" w:rsidR="00AC47AC" w:rsidRDefault="00AC47AC" w:rsidP="00A324F8">
      <w:pPr>
        <w:rPr>
          <w:sz w:val="20"/>
        </w:rPr>
      </w:pPr>
    </w:p>
    <w:p w14:paraId="48ACE125" w14:textId="1CE81D78" w:rsidR="00AC3E48" w:rsidRDefault="00AC3E48"/>
    <w:p w14:paraId="0FBF5059" w14:textId="397A324F" w:rsidR="00AC47AC" w:rsidRDefault="00AC47AC"/>
    <w:p w14:paraId="1FE8E195" w14:textId="4422E5A6" w:rsidR="00AC47AC" w:rsidRDefault="00AC47AC">
      <w:r w:rsidRPr="00BC2689">
        <w:rPr>
          <w:rFonts w:eastAsia="Meiryo"/>
          <w:noProof/>
          <w:color w:val="000000"/>
          <w:sz w:val="2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9D0E6F4" wp14:editId="2E38C35B">
            <wp:simplePos x="0" y="0"/>
            <wp:positionH relativeFrom="column">
              <wp:posOffset>0</wp:posOffset>
            </wp:positionH>
            <wp:positionV relativeFrom="paragraph">
              <wp:posOffset>-222885</wp:posOffset>
            </wp:positionV>
            <wp:extent cx="2073080" cy="2926080"/>
            <wp:effectExtent l="0" t="0" r="3810" b="7620"/>
            <wp:wrapThrough wrapText="bothSides">
              <wp:wrapPolygon edited="0">
                <wp:start x="0" y="0"/>
                <wp:lineTo x="0" y="21516"/>
                <wp:lineTo x="21441" y="21516"/>
                <wp:lineTo x="21441" y="0"/>
                <wp:lineTo x="0" y="0"/>
              </wp:wrapPolygon>
            </wp:wrapThrough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0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4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F8"/>
    <w:rsid w:val="00A324F8"/>
    <w:rsid w:val="00AC3E48"/>
    <w:rsid w:val="00A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F3D1"/>
  <w15:chartTrackingRefBased/>
  <w15:docId w15:val="{12A1BF8A-39AB-435D-AFB9-375DFF70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F8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Secretary1</dc:creator>
  <cp:keywords/>
  <dc:description/>
  <cp:lastModifiedBy>Secretary1</cp:lastModifiedBy>
  <cp:revision>2</cp:revision>
  <dcterms:created xsi:type="dcterms:W3CDTF">2020-07-08T09:43:00Z</dcterms:created>
  <dcterms:modified xsi:type="dcterms:W3CDTF">2020-07-08T09:45:00Z</dcterms:modified>
</cp:coreProperties>
</file>